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Times New Roman" w:hAnsi="Times New Roman" w:eastAsia="楷体" w:cs="Times New Roman"/>
          <w:b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楷体" w:cs="Times New Roman"/>
          <w:b/>
          <w:bCs w:val="0"/>
          <w:sz w:val="32"/>
          <w:szCs w:val="32"/>
          <w:lang w:val="en-US" w:eastAsia="zh-CN"/>
        </w:rPr>
        <w:t>Supplementary Content</w:t>
      </w: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eastAsia="楷体" w:cs="Times New Roman"/>
          <w:b/>
          <w:bCs w:val="0"/>
          <w:sz w:val="24"/>
          <w:szCs w:val="24"/>
        </w:rPr>
      </w:pPr>
      <w:r>
        <w:rPr>
          <w:rFonts w:hint="default" w:ascii="Times New Roman" w:hAnsi="Times New Roman" w:eastAsia="楷体" w:cs="Times New Roman"/>
          <w:b/>
          <w:bCs w:val="0"/>
          <w:sz w:val="24"/>
          <w:szCs w:val="24"/>
        </w:rPr>
        <w:t xml:space="preserve">Detecting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</w:rPr>
        <w:t>bnormal</w:t>
      </w:r>
      <w:r>
        <w:rPr>
          <w:rFonts w:ascii="Times New Roman" w:hAnsi="Times New Roman" w:eastAsia="楷体" w:cs="Times New Roman"/>
          <w:b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f</w:t>
      </w:r>
      <w:r>
        <w:rPr>
          <w:rFonts w:ascii="Times New Roman" w:hAnsi="Times New Roman" w:eastAsia="楷体" w:cs="Times New Roman"/>
          <w:b/>
          <w:bCs w:val="0"/>
          <w:sz w:val="24"/>
          <w:szCs w:val="24"/>
        </w:rPr>
        <w:t xml:space="preserve">undus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i</w:t>
      </w:r>
      <w:r>
        <w:rPr>
          <w:rFonts w:ascii="Times New Roman" w:hAnsi="Times New Roman" w:eastAsia="楷体" w:cs="Times New Roman"/>
          <w:b/>
          <w:bCs w:val="0"/>
          <w:sz w:val="24"/>
          <w:szCs w:val="24"/>
        </w:rPr>
        <w:t xml:space="preserve">mages by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e</w:t>
      </w:r>
      <w:r>
        <w:rPr>
          <w:rFonts w:ascii="Times New Roman" w:hAnsi="Times New Roman" w:eastAsia="楷体" w:cs="Times New Roman"/>
          <w:b/>
          <w:bCs w:val="0"/>
          <w:sz w:val="24"/>
          <w:szCs w:val="24"/>
        </w:rPr>
        <w:t xml:space="preserve">mploying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</w:rPr>
        <w:t xml:space="preserve">eep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</w:rPr>
        <w:t xml:space="preserve">ransfer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</w:rPr>
        <w:t>earning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 xml:space="preserve">Running head: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</w:rPr>
        <w:t xml:space="preserve">Deep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</w:rPr>
        <w:t xml:space="preserve">ransfer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l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</w:rPr>
        <w:t>earning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 xml:space="preserve"> and f</w:t>
      </w:r>
      <w:r>
        <w:rPr>
          <w:rFonts w:ascii="Times New Roman" w:hAnsi="Times New Roman" w:eastAsia="楷体" w:cs="Times New Roman"/>
          <w:b/>
          <w:bCs w:val="0"/>
          <w:sz w:val="24"/>
          <w:szCs w:val="24"/>
        </w:rPr>
        <w:t xml:space="preserve">undus 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>i</w:t>
      </w:r>
      <w:r>
        <w:rPr>
          <w:rFonts w:ascii="Times New Roman" w:hAnsi="Times New Roman" w:eastAsia="楷体" w:cs="Times New Roman"/>
          <w:b/>
          <w:bCs w:val="0"/>
          <w:sz w:val="24"/>
          <w:szCs w:val="24"/>
        </w:rPr>
        <w:t>mages</w:t>
      </w:r>
      <w:r>
        <w:rPr>
          <w:rFonts w:hint="default" w:ascii="Times New Roman" w:hAnsi="Times New Roman" w:eastAsia="楷体" w:cs="Times New Roman"/>
          <w:b/>
          <w:bCs w:val="0"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Yan Yu,MD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13"/>
          <w:szCs w:val="13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sz w:val="24"/>
        </w:rPr>
        <w:t>; Xiao Chen,MS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; Xiang</w:t>
      </w:r>
      <w:r>
        <w:rPr>
          <w:rFonts w:hint="default" w:ascii="Times New Roman" w:hAnsi="Times New Roman" w:cs="Times New Roman"/>
          <w:sz w:val="24"/>
          <w:lang w:val="en-US" w:eastAsia="zh-CN"/>
        </w:rPr>
        <w:t>-B</w:t>
      </w:r>
      <w:r>
        <w:rPr>
          <w:rFonts w:hint="default" w:ascii="Times New Roman" w:hAnsi="Times New Roman" w:cs="Times New Roman"/>
          <w:sz w:val="24"/>
        </w:rPr>
        <w:t>ing Zhu, Ph.D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; Peng</w:t>
      </w:r>
      <w:r>
        <w:rPr>
          <w:rFonts w:hint="default" w:ascii="Times New Roman" w:hAnsi="Times New Roman" w:cs="Times New Roman"/>
          <w:sz w:val="24"/>
          <w:lang w:val="en-US" w:eastAsia="zh-CN"/>
        </w:rPr>
        <w:t>-F</w:t>
      </w:r>
      <w:r>
        <w:rPr>
          <w:rFonts w:hint="default" w:ascii="Times New Roman" w:hAnsi="Times New Roman" w:cs="Times New Roman"/>
          <w:sz w:val="24"/>
        </w:rPr>
        <w:t>ei Zhang,Ph.D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; Yin</w:t>
      </w:r>
      <w:r>
        <w:rPr>
          <w:rFonts w:hint="default" w:ascii="Times New Roman" w:hAnsi="Times New Roman" w:cs="Times New Roman"/>
          <w:sz w:val="24"/>
          <w:lang w:val="en-US" w:eastAsia="zh-CN"/>
        </w:rPr>
        <w:t>-F</w:t>
      </w:r>
      <w:r>
        <w:rPr>
          <w:rFonts w:hint="default" w:ascii="Times New Roman" w:hAnsi="Times New Roman" w:cs="Times New Roman"/>
          <w:sz w:val="24"/>
        </w:rPr>
        <w:t>en Hou,MD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 xml:space="preserve">; </w:t>
      </w:r>
      <w:r>
        <w:rPr>
          <w:rFonts w:hint="default" w:ascii="Times New Roman" w:hAnsi="Times New Roman" w:cs="Times New Roman"/>
          <w:sz w:val="24"/>
          <w:lang w:val="en-US" w:eastAsia="zh-CN"/>
        </w:rPr>
        <w:t>Rong-Rong Zhang,MD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lang w:val="en-US" w:eastAsia="zh-CN"/>
        </w:rPr>
        <w:t>;</w:t>
      </w:r>
      <w:r>
        <w:rPr>
          <w:rFonts w:hint="default" w:ascii="Times New Roman" w:hAnsi="Times New Roman" w:cs="Times New Roman"/>
          <w:sz w:val="24"/>
        </w:rPr>
        <w:t>Chang</w:t>
      </w:r>
      <w:r>
        <w:rPr>
          <w:rFonts w:hint="default" w:ascii="Times New Roman" w:hAnsi="Times New Roman" w:cs="Times New Roman"/>
          <w:sz w:val="24"/>
          <w:lang w:val="en-US" w:eastAsia="zh-CN"/>
        </w:rPr>
        <w:t>-F</w:t>
      </w:r>
      <w:r>
        <w:rPr>
          <w:rFonts w:hint="default" w:ascii="Times New Roman" w:hAnsi="Times New Roman" w:cs="Times New Roman"/>
          <w:sz w:val="24"/>
        </w:rPr>
        <w:t>an Wu,MD</w:t>
      </w:r>
      <w:r>
        <w:rPr>
          <w:rFonts w:hint="default" w:ascii="Times New Roman" w:hAnsi="Times New Roman" w:cs="Times New Roman"/>
          <w:sz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spacing w:line="240" w:lineRule="auto"/>
        <w:ind w:firstLine="0" w:firstLineChars="0"/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eTable 2. Results of some methods for testing our color fundus photos.</w:t>
      </w:r>
    </w:p>
    <w:p>
      <w:pPr>
        <w:spacing w:line="240" w:lineRule="auto"/>
        <w:ind w:firstLine="0" w:firstLineChars="0"/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eTable 3. Comparison with other methods for color fundus photos classification tasks.</w:t>
      </w:r>
    </w:p>
    <w:p>
      <w:pPr>
        <w:spacing w:line="240" w:lineRule="auto"/>
        <w:ind w:firstLine="0" w:firstLineChars="0"/>
        <w:jc w:val="both"/>
        <w:rPr>
          <w:rFonts w:hint="default" w:ascii="Times New Roman" w:hAnsi="Times New Roman" w:cs="Times New Roman"/>
          <w:sz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</w:rPr>
      </w:pPr>
    </w:p>
    <w:p>
      <w:pPr>
        <w:spacing w:line="240" w:lineRule="auto"/>
        <w:ind w:firstLine="0" w:firstLineChars="0"/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240" w:lineRule="auto"/>
        <w:ind w:firstLine="0" w:firstLineChars="0"/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eTable 2.</w:t>
      </w:r>
      <w:r>
        <w:rPr>
          <w:rFonts w:hint="eastAsia" w:ascii="Times New Roman" w:hAnsi="Times New Roman"/>
          <w:szCs w:val="21"/>
        </w:rPr>
        <w:t xml:space="preserve"> Results of some methods for testing our color fundus photos.</w:t>
      </w:r>
    </w:p>
    <w:tbl>
      <w:tblPr>
        <w:tblStyle w:val="2"/>
        <w:tblW w:w="0" w:type="auto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3"/>
        <w:gridCol w:w="1135"/>
        <w:gridCol w:w="1221"/>
        <w:gridCol w:w="1254"/>
        <w:gridCol w:w="944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3753" w:type="dxa"/>
            <w:tcBorders>
              <w:bottom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1320" w:firstLineChars="60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Approaches</w:t>
            </w:r>
          </w:p>
        </w:tc>
        <w:tc>
          <w:tcPr>
            <w:tcW w:w="1135" w:type="dxa"/>
            <w:tcBorders>
              <w:bottom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jc w:val="both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A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 xml:space="preserve">ccuracy </w:t>
            </w:r>
          </w:p>
        </w:tc>
        <w:tc>
          <w:tcPr>
            <w:tcW w:w="1221" w:type="dxa"/>
            <w:tcBorders>
              <w:bottom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jc w:val="both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S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ensitivity</w:t>
            </w:r>
          </w:p>
        </w:tc>
        <w:tc>
          <w:tcPr>
            <w:tcW w:w="1254" w:type="dxa"/>
            <w:tcBorders>
              <w:bottom w:val="single" w:color="000000" w:sz="8" w:space="0"/>
            </w:tcBorders>
            <w:noWrap/>
            <w:vAlign w:val="top"/>
          </w:tcPr>
          <w:p>
            <w:pPr>
              <w:widowControl/>
              <w:spacing w:line="240" w:lineRule="auto"/>
              <w:jc w:val="both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S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 xml:space="preserve">pecificity </w:t>
            </w:r>
          </w:p>
        </w:tc>
        <w:tc>
          <w:tcPr>
            <w:tcW w:w="944" w:type="dxa"/>
            <w:tcBorders>
              <w:bottom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AUC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3753" w:type="dxa"/>
            <w:tcBorders>
              <w:top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DA+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Inception-ResNet-v2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+TL</w:t>
            </w:r>
          </w:p>
        </w:tc>
        <w:tc>
          <w:tcPr>
            <w:tcW w:w="1135" w:type="dxa"/>
            <w:tcBorders>
              <w:top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49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221" w:type="dxa"/>
            <w:tcBorders>
              <w:top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100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254" w:type="dxa"/>
            <w:tcBorders>
              <w:top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0%</w:t>
            </w:r>
          </w:p>
        </w:tc>
        <w:tc>
          <w:tcPr>
            <w:tcW w:w="944" w:type="dxa"/>
            <w:tcBorders>
              <w:top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3753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Inception-ResNet-v2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+FT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86.81%</w:t>
            </w:r>
          </w:p>
        </w:tc>
        <w:tc>
          <w:tcPr>
            <w:tcW w:w="1221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89.91%</w:t>
            </w:r>
          </w:p>
        </w:tc>
        <w:tc>
          <w:tcPr>
            <w:tcW w:w="1254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84.76%</w:t>
            </w: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0.905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3753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DA+Inception-v3(from scratch)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86.45%</w:t>
            </w:r>
          </w:p>
        </w:tc>
        <w:tc>
          <w:tcPr>
            <w:tcW w:w="1221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78.33%</w:t>
            </w:r>
          </w:p>
        </w:tc>
        <w:tc>
          <w:tcPr>
            <w:tcW w:w="1254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92.81%</w:t>
            </w: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0.912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3753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DA+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Inception-v3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+TL+FT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91.79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221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89.52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254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93.59%</w:t>
            </w: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0.938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3753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22"/>
              </w:rPr>
              <w:t>DA+</w:t>
            </w: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Inception-ResNet-v2+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 w:val="22"/>
              </w:rPr>
              <w:t xml:space="preserve">TL+FT 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22"/>
              </w:rPr>
              <w:t>97.07%</w:t>
            </w:r>
          </w:p>
        </w:tc>
        <w:tc>
          <w:tcPr>
            <w:tcW w:w="1221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22"/>
              </w:rPr>
              <w:t>97.41%</w:t>
            </w:r>
          </w:p>
        </w:tc>
        <w:tc>
          <w:tcPr>
            <w:tcW w:w="1254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22"/>
              </w:rPr>
              <w:t>96.82%</w:t>
            </w:r>
          </w:p>
        </w:tc>
        <w:tc>
          <w:tcPr>
            <w:tcW w:w="944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22"/>
              </w:rPr>
              <w:t>0.997</w:t>
            </w:r>
          </w:p>
        </w:tc>
      </w:tr>
    </w:tbl>
    <w:p>
      <w:pPr>
        <w:spacing w:line="240" w:lineRule="auto"/>
        <w:ind w:firstLine="0" w:firstLineChars="0"/>
        <w:jc w:val="both"/>
        <w:rPr>
          <w:rFonts w:hint="eastAsia" w:ascii="Times New Roman" w:hAnsi="Times New Roman"/>
          <w:b/>
          <w:szCs w:val="21"/>
        </w:rPr>
      </w:pPr>
    </w:p>
    <w:p>
      <w:pPr>
        <w:spacing w:line="240" w:lineRule="auto"/>
        <w:ind w:firstLine="0" w:firstLineChars="0"/>
        <w:jc w:val="both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b/>
          <w:szCs w:val="21"/>
        </w:rPr>
        <w:t>Table 3.</w:t>
      </w:r>
      <w:r>
        <w:rPr>
          <w:rFonts w:hint="eastAsia" w:ascii="Times New Roman" w:hAnsi="Times New Roman"/>
          <w:szCs w:val="21"/>
        </w:rPr>
        <w:t xml:space="preserve"> Comparison with other methods for color fundus photos classification tasks.</w:t>
      </w:r>
    </w:p>
    <w:tbl>
      <w:tblPr>
        <w:tblStyle w:val="2"/>
        <w:tblW w:w="0" w:type="auto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8"/>
        <w:gridCol w:w="212"/>
        <w:gridCol w:w="56"/>
        <w:gridCol w:w="2071"/>
        <w:gridCol w:w="1285"/>
        <w:gridCol w:w="1285"/>
        <w:gridCol w:w="1285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2780" w:type="dxa"/>
            <w:gridSpan w:val="2"/>
            <w:tcBorders>
              <w:bottom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198" w:firstLineChars="9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Approaches</w:t>
            </w:r>
          </w:p>
        </w:tc>
        <w:tc>
          <w:tcPr>
            <w:tcW w:w="2127" w:type="dxa"/>
            <w:gridSpan w:val="2"/>
            <w:tcBorders>
              <w:bottom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Dataset</w:t>
            </w:r>
          </w:p>
        </w:tc>
        <w:tc>
          <w:tcPr>
            <w:tcW w:w="1285" w:type="dxa"/>
            <w:tcBorders>
              <w:bottom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198" w:firstLineChars="9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A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 xml:space="preserve">ccuracy </w:t>
            </w:r>
          </w:p>
        </w:tc>
        <w:tc>
          <w:tcPr>
            <w:tcW w:w="1285" w:type="dxa"/>
            <w:tcBorders>
              <w:bottom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S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ensitivity</w:t>
            </w:r>
          </w:p>
        </w:tc>
        <w:tc>
          <w:tcPr>
            <w:tcW w:w="1285" w:type="dxa"/>
            <w:tcBorders>
              <w:bottom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auto"/>
              <w:jc w:val="both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S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 xml:space="preserve">pecificity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2780" w:type="dxa"/>
            <w:gridSpan w:val="2"/>
            <w:tcBorders>
              <w:top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VGGNet-s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ADDIN EN.CITE &lt;EndNote&gt;&lt;Cite&gt;&lt;Author&gt;Wan&lt;/Author&gt;&lt;Year&gt;2018&lt;/Year&gt;&lt;RecNum&gt;45&lt;/RecNum&gt;&lt;DisplayText&gt;[38]&lt;/DisplayText&gt;&lt;record&gt;&lt;rec-number&gt;45&lt;/rec-number&gt;&lt;foreign-keys&gt;&lt;key app="EN" db-id="x2xrexr9me9zsqerawvpepxeap2aat50rrsa"&gt;45&lt;/key&gt;&lt;/foreign-keys&gt;&lt;ref-type name="Journal Article"&gt;17&lt;/ref-type&gt;&lt;contributors&gt;&lt;authors&gt;&lt;author&gt;Wan, Shaohua&lt;/author&gt;&lt;author&gt;Liang, Yan&lt;/author&gt;&lt;author&gt;Zhang, Yin&lt;/author&gt;&lt;/authors&gt;&lt;/contributors&gt;&lt;titles&gt;&lt;title&gt;Deep convolutional neural networks for diabetic retinopathy detection by image classification&lt;/title&gt;&lt;secondary-title&gt;Computers &amp;amp; Electrical Engineering&lt;/secondary-title&gt;&lt;/titles&gt;&lt;periodical&gt;&lt;full-title&gt;Computers &amp;amp; Electrical Engineering&lt;/full-title&gt;&lt;/periodical&gt;&lt;pages&gt;274-282&lt;/pages&gt;&lt;volume&gt;72&lt;/volume&gt;&lt;dates&gt;&lt;year&gt;2018&lt;/year&gt;&lt;/dates&gt;&lt;isbn&gt;0045-7906&lt;/isbn&gt;&lt;urls&gt;&lt;/urls&gt;&lt;/record&gt;&lt;/Cite&gt;&lt;/EndNote&gt;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[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HYPERLINK \l "_ENREF_38" \o "Wan, 2018 #45"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]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2127" w:type="dxa"/>
            <w:gridSpan w:val="2"/>
            <w:tcBorders>
              <w:top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Kaggle</w:t>
            </w:r>
          </w:p>
        </w:tc>
        <w:tc>
          <w:tcPr>
            <w:tcW w:w="1285" w:type="dxa"/>
            <w:tcBorders>
              <w:top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95.68%</w:t>
            </w:r>
          </w:p>
        </w:tc>
        <w:tc>
          <w:tcPr>
            <w:tcW w:w="1285" w:type="dxa"/>
            <w:tcBorders>
              <w:top w:val="single" w:color="000000" w:sz="8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86.47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285" w:type="dxa"/>
            <w:tcBorders>
              <w:top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97.43%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2780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eep learning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ADDIN EN.CITE &lt;EndNote&gt;&lt;Cite&gt;&lt;Author&gt;Li&lt;/Author&gt;&lt;Year&gt;2018&lt;/Year&gt;&lt;RecNum&gt;46&lt;/RecNum&gt;&lt;DisplayText&gt;[39]&lt;/DisplayText&gt;&lt;record&gt;&lt;rec-number&gt;46&lt;/rec-number&gt;&lt;foreign-keys&gt;&lt;key app="EN" db-id="x2xrexr9me9zsqerawvpepxeap2aat50rrsa"&gt;46&lt;/key&gt;&lt;/foreign-keys&gt;&lt;ref-type name="Journal Article"&gt;17&lt;/ref-type&gt;&lt;contributors&gt;&lt;authors&gt;&lt;author&gt;Li, Zhixi&lt;/author&gt;&lt;author&gt;He, Yifan&lt;/author&gt;&lt;author&gt;Keel, Stuart&lt;/author&gt;&lt;author&gt;Meng, Wei&lt;/author&gt;&lt;author&gt;Chang, Robert T&lt;/author&gt;&lt;author&gt;He, Mingguang&lt;/author&gt;&lt;/authors&gt;&lt;/contributors&gt;&lt;titles&gt;&lt;title&gt;Efficacy of a deep learning system for detecting glaucomatous optic neuropathy based on color fundus photographs&lt;/title&gt;&lt;secondary-title&gt;Ophthalmology&lt;/secondary-title&gt;&lt;/titles&gt;&lt;periodical&gt;&lt;full-title&gt;Ophthalmology&lt;/full-title&gt;&lt;/periodical&gt;&lt;pages&gt;1199-1206&lt;/pages&gt;&lt;volume&gt;125&lt;/volume&gt;&lt;number&gt;8&lt;/number&gt;&lt;dates&gt;&lt;year&gt;2018&lt;/year&gt;&lt;/dates&gt;&lt;isbn&gt;0161-6420&lt;/isbn&gt;&lt;urls&gt;&lt;/urls&gt;&lt;/record&gt;&lt;/Cite&gt;&lt;/EndNote&gt;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[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HYPERLINK \l "_ENREF_39" \o "Li, 2018 #46"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]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2127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48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116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 xml:space="preserve"> fundus photos</w:t>
            </w:r>
          </w:p>
        </w:tc>
        <w:tc>
          <w:tcPr>
            <w:tcW w:w="128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28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95.6%</w:t>
            </w:r>
          </w:p>
        </w:tc>
        <w:tc>
          <w:tcPr>
            <w:tcW w:w="1285" w:type="dxa"/>
            <w:noWrap w:val="0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 92.0% 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2568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AlexNet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ADDIN EN.CITE &lt;EndNote&gt;&lt;Cite&gt;&lt;Author&gt;Shanthi&lt;/Author&gt;&lt;Year&gt;2019&lt;/Year&gt;&lt;RecNum&gt;47&lt;/RecNum&gt;&lt;DisplayText&gt;[40]&lt;/DisplayText&gt;&lt;record&gt;&lt;rec-number&gt;47&lt;/rec-number&gt;&lt;foreign-keys&gt;&lt;key app="EN" db-id="x2xrexr9me9zsqerawvpepxeap2aat50rrsa"&gt;47&lt;/key&gt;&lt;/foreign-keys&gt;&lt;ref-type name="Journal Article"&gt;17&lt;/ref-type&gt;&lt;contributors&gt;&lt;authors&gt;&lt;author&gt;Shanthi, T&lt;/author&gt;&lt;author&gt;Sabeenian, RS&lt;/author&gt;&lt;/authors&gt;&lt;/contributors&gt;&lt;titles&gt;&lt;title&gt;Modified Alexnet architecture for classification of diabetic retinopathy images&lt;/title&gt;&lt;secondary-title&gt;Computers &amp;amp; Electrical Engineering&lt;/secondary-title&gt;&lt;/titles&gt;&lt;periodical&gt;&lt;full-title&gt;Computers &amp;amp; Electrical Engineering&lt;/full-title&gt;&lt;/periodical&gt;&lt;pages&gt;56-64&lt;/pages&gt;&lt;volume&gt;76&lt;/volume&gt;&lt;dates&gt;&lt;year&gt;2019&lt;/year&gt;&lt;/dates&gt;&lt;isbn&gt;0045-7906&lt;/isbn&gt;&lt;urls&gt;&lt;/urls&gt;&lt;/record&gt;&lt;/Cite&gt;&lt;/EndNote&gt;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[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HYPERLINK \l "_ENREF_40" \o "Shanthi, 2019 #47"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39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]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2339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Messidor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(Normal)</w:t>
            </w:r>
          </w:p>
        </w:tc>
        <w:tc>
          <w:tcPr>
            <w:tcW w:w="128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96.6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28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95.3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285" w:type="dxa"/>
            <w:noWrap w:val="0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97.3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%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2836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upervised 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learning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ADDIN EN.CITE &lt;EndNote&gt;&lt;Cite&gt;&lt;Author&gt;Gegundez-Arias&lt;/Author&gt;&lt;Year&gt;2017&lt;/Year&gt;&lt;RecNum&gt;48&lt;/RecNum&gt;&lt;DisplayText&gt;[41]&lt;/DisplayText&gt;&lt;record&gt;&lt;rec-number&gt;48&lt;/rec-number&gt;&lt;foreign-keys&gt;&lt;key app="EN" db-id="x2xrexr9me9zsqerawvpepxeap2aat50rrsa"&gt;48&lt;/key&gt;&lt;/foreign-keys&gt;&lt;ref-type name="Journal Article"&gt;17&lt;/ref-type&gt;&lt;contributors&gt;&lt;authors&gt;&lt;author&gt;Gegundez-Arias, Manuel E&lt;/author&gt;&lt;author&gt;Marin, Diego&lt;/author&gt;&lt;author&gt;Ponte, Beatriz&lt;/author&gt;&lt;author&gt;Alvarez, Fatima&lt;/author&gt;&lt;author&gt;Garrido, Javier&lt;/author&gt;&lt;author&gt;Ortega, Carlos&lt;/author&gt;&lt;author&gt;Vasallo, Manuel J&lt;/author&gt;&lt;author&gt;Bravo, Jose M&lt;/author&gt;&lt;/authors&gt;&lt;/contributors&gt;&lt;titles&gt;&lt;title&gt;A tool for automated diabetic retinopathy pre-screening based on retinal image computer analysis&lt;/title&gt;&lt;secondary-title&gt;Computers in biology and medicine&lt;/secondary-title&gt;&lt;/titles&gt;&lt;periodical&gt;&lt;full-title&gt;Computers in biology and medicine&lt;/full-title&gt;&lt;/periodical&gt;&lt;pages&gt;100-109&lt;/pages&gt;&lt;volume&gt;88&lt;/volume&gt;&lt;dates&gt;&lt;year&gt;2017&lt;/year&gt;&lt;/dates&gt;&lt;isbn&gt;0010-4825&lt;/isbn&gt;&lt;urls&gt;&lt;/urls&gt;&lt;/record&gt;&lt;/Cite&gt;&lt;/EndNote&gt;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[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HYPERLINK \l "_ENREF_41" \o "Gegundez-Arias, 2017 #48"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]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2071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1058 images</w:t>
            </w:r>
          </w:p>
        </w:tc>
        <w:tc>
          <w:tcPr>
            <w:tcW w:w="128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285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50.98%</w:t>
            </w:r>
          </w:p>
        </w:tc>
        <w:tc>
          <w:tcPr>
            <w:tcW w:w="1285" w:type="dxa"/>
            <w:noWrap w:val="0"/>
            <w:vAlign w:val="top"/>
          </w:tcPr>
          <w:p>
            <w:pPr>
              <w:widowControl/>
              <w:spacing w:line="240" w:lineRule="auto"/>
              <w:ind w:firstLine="330" w:firstLineChars="15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%</w:t>
            </w:r>
          </w:p>
        </w:tc>
      </w:tr>
    </w:tbl>
    <w:p>
      <w:pPr>
        <w:spacing w:line="240" w:lineRule="auto"/>
        <w:ind w:firstLine="210" w:firstLineChars="100"/>
        <w:rPr>
          <w:rFonts w:hint="eastAsia"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*The </w:t>
      </w:r>
      <w:r>
        <w:rPr>
          <w:rFonts w:ascii="Times New Roman" w:hAnsi="Times New Roman"/>
          <w:szCs w:val="21"/>
        </w:rPr>
        <w:t>‘</w:t>
      </w:r>
      <w:r>
        <w:rPr>
          <w:rFonts w:hint="eastAsia"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’</w:t>
      </w:r>
      <w:r>
        <w:rPr>
          <w:rFonts w:hint="eastAsia" w:ascii="Times New Roman" w:hAnsi="Times New Roman"/>
          <w:szCs w:val="21"/>
        </w:rPr>
        <w:t xml:space="preserve"> in the Table 3 means </w:t>
      </w:r>
      <w:r>
        <w:rPr>
          <w:rFonts w:ascii="Times New Roman" w:hAnsi="Times New Roman"/>
          <w:szCs w:val="21"/>
        </w:rPr>
        <w:t xml:space="preserve">that this </w:t>
      </w:r>
      <w:r>
        <w:rPr>
          <w:rFonts w:hint="eastAsia" w:ascii="Times New Roman" w:hAnsi="Times New Roman"/>
          <w:szCs w:val="21"/>
        </w:rPr>
        <w:t>measure</w:t>
      </w:r>
      <w:r>
        <w:rPr>
          <w:rFonts w:ascii="Times New Roman" w:hAnsi="Times New Roman"/>
          <w:szCs w:val="21"/>
        </w:rPr>
        <w:t xml:space="preserve"> is not mentioned in the literature</w:t>
      </w:r>
      <w:r>
        <w:rPr>
          <w:rFonts w:hint="eastAsia" w:ascii="Times New Roman" w:hAnsi="Times New Roman"/>
          <w:szCs w:val="21"/>
        </w:rPr>
        <w:t>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11F48"/>
    <w:rsid w:val="0FA0685B"/>
    <w:rsid w:val="31F3602B"/>
    <w:rsid w:val="384E2D63"/>
    <w:rsid w:val="52204895"/>
    <w:rsid w:val="58011F48"/>
    <w:rsid w:val="786F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2020-01-22T09:22:00Z</dcterms:created>
  <dc:creator>雨言</dc:creator>
  <cp:lastModifiedBy>雨言</cp:lastModifiedBy>
  <dcterms:modified xsi:type="dcterms:W3CDTF">2020-01-22T15:04:54Z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